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19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 Escuela Superior de Cerámica “Fernando Arranz”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integrante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06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08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46218A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 docente en representación del Consejo Institucional, un docente surgido de terna propuesta por la Dirección de la Escuela en la cual se produce la vacante designado por la Decana y un docente pr</w:t>
      </w:r>
      <w:r w:rsidR="0010133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opuesto y designado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la Decana.</w:t>
      </w:r>
    </w:p>
    <w:p w:rsidR="00536308" w:rsidRDefault="005363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lastRenderedPageBreak/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en la 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Escuela Superior de Cerámica “Fernando Arranz” 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i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ntegrante de esta Facultad de Arte y Diseño de la Universidad Provincial de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realizadas</w:t>
      </w:r>
      <w:proofErr w:type="gramEnd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06/05/20 al 08/05/20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</w:t>
      </w:r>
      <w:r w:rsidR="00CD72F4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6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C67981" w:rsidRPr="00F77A98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Comisiones Evaluadoras para la convocatoria de unidades curriculares </w:t>
      </w:r>
      <w:r w:rsidR="00536308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no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universitarias vacantes</w:t>
      </w:r>
      <w:r w:rsidR="009A64F4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</w:t>
      </w:r>
      <w:r w:rsidR="005C30FB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 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Escuela Superior de Cerámica “Fernando Arranz”</w:t>
      </w:r>
      <w:r w:rsidR="009A64F4" w:rsidRPr="00F77A98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la Facultad de Arte y Diseño:</w:t>
      </w:r>
    </w:p>
    <w:p w:rsidR="00CD72F4" w:rsidRDefault="00CD72F4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C8" w:rsidRPr="00CD72F4" w:rsidRDefault="002560C8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CURRICULAR: </w:t>
      </w:r>
      <w:r w:rsidR="00CD72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2F4">
        <w:rPr>
          <w:rFonts w:ascii="Times New Roman" w:hAnsi="Times New Roman" w:cs="Times New Roman"/>
          <w:b/>
          <w:sz w:val="24"/>
          <w:szCs w:val="24"/>
        </w:rPr>
        <w:t>CERÁMICA ARTÍSTICA II</w:t>
      </w:r>
    </w:p>
    <w:p w:rsidR="002560C8" w:rsidRPr="00F77A9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COMISION EVALUADORA: </w:t>
      </w:r>
    </w:p>
    <w:p w:rsidR="005C30FB" w:rsidRPr="00F77A98" w:rsidRDefault="00CD72F4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Bravetti</w:t>
      </w:r>
      <w:proofErr w:type="spellEnd"/>
      <w:r w:rsidR="005C30FB"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CD72F4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Soupet</w:t>
      </w:r>
      <w:proofErr w:type="spellEnd"/>
      <w:r w:rsidR="005C30FB"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</w:t>
      </w:r>
      <w:r w:rsidR="00CD72F4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CD72F4">
        <w:rPr>
          <w:rFonts w:ascii="Times New Roman" w:hAnsi="Times New Roman" w:cs="Times New Roman"/>
          <w:sz w:val="24"/>
          <w:szCs w:val="24"/>
        </w:rPr>
        <w:t>Peñeñory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5C30FB" w:rsidRPr="00F77A98" w:rsidRDefault="00CD72F4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5C30FB" w:rsidRPr="00F77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Gregorio Pereyra</w:t>
      </w:r>
    </w:p>
    <w:p w:rsidR="005C30FB" w:rsidRPr="00F77A98" w:rsidRDefault="00CD72F4" w:rsidP="00CD72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María Mirtha García</w:t>
      </w:r>
    </w:p>
    <w:p w:rsidR="005C30FB" w:rsidRPr="00F77A98" w:rsidRDefault="00CD72F4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UNIDAD CURRICULAR: CERÁMICA ARTÍSTICA III</w:t>
      </w:r>
      <w:r w:rsidR="005C30FB" w:rsidRPr="00F77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30FB" w:rsidRDefault="005C30FB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COMISIÓN EVALUADORA:</w:t>
      </w:r>
    </w:p>
    <w:p w:rsidR="00CD72F4" w:rsidRPr="00F77A98" w:rsidRDefault="00CD72F4" w:rsidP="00CD72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Iris Guerrero</w:t>
      </w:r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CD72F4" w:rsidRPr="00F77A98" w:rsidRDefault="00CD72F4" w:rsidP="00CD72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Soupet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CD72F4" w:rsidRPr="00F77A98" w:rsidRDefault="00CD72F4" w:rsidP="00CD72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F77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Gregorio Pereyra</w:t>
      </w:r>
    </w:p>
    <w:p w:rsidR="00CD72F4" w:rsidRPr="00F77A98" w:rsidRDefault="00CD72F4" w:rsidP="00CD72F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F4" w:rsidRDefault="00CD72F4" w:rsidP="00CD72F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CD72F4" w:rsidRDefault="00CD72F4" w:rsidP="00CD72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Peñeñory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2F4" w:rsidRPr="00CD72F4" w:rsidRDefault="00CD72F4" w:rsidP="00CD72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F4">
        <w:rPr>
          <w:rFonts w:ascii="Times New Roman" w:hAnsi="Times New Roman" w:cs="Times New Roman"/>
          <w:sz w:val="24"/>
          <w:szCs w:val="24"/>
        </w:rPr>
        <w:t>Prof. María Mirtha García</w:t>
      </w:r>
    </w:p>
    <w:p w:rsidR="00CD72F4" w:rsidRPr="00F77A98" w:rsidRDefault="00CD72F4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89" w:rsidRDefault="00536989" w:rsidP="005613D1">
      <w:pPr>
        <w:spacing w:after="0" w:line="240" w:lineRule="auto"/>
      </w:pPr>
      <w:r>
        <w:separator/>
      </w:r>
    </w:p>
  </w:endnote>
  <w:endnote w:type="continuationSeparator" w:id="0">
    <w:p w:rsidR="00536989" w:rsidRDefault="00536989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CD72F4">
      <w:rPr>
        <w:rFonts w:ascii="Times New Roman" w:hAnsi="Times New Roman" w:cs="Times New Roman"/>
        <w:b/>
        <w:sz w:val="28"/>
        <w:szCs w:val="28"/>
      </w:rPr>
      <w:t>0046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89" w:rsidRDefault="00536989" w:rsidP="005613D1">
      <w:pPr>
        <w:spacing w:after="0" w:line="240" w:lineRule="auto"/>
      </w:pPr>
      <w:r>
        <w:separator/>
      </w:r>
    </w:p>
  </w:footnote>
  <w:footnote w:type="continuationSeparator" w:id="0">
    <w:p w:rsidR="00536989" w:rsidRDefault="00536989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97FAB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58D1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6989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2E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D72F4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6EFF"/>
    <w:rsid w:val="00F501DD"/>
    <w:rsid w:val="00F549DC"/>
    <w:rsid w:val="00F57201"/>
    <w:rsid w:val="00F60099"/>
    <w:rsid w:val="00F64401"/>
    <w:rsid w:val="00F742E9"/>
    <w:rsid w:val="00F77A98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DDDFF-12E8-43A9-AC61-1496E7B4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ECF4-2627-440E-A92E-16DEA5E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2020-05-21T19:06:00Z</dcterms:created>
  <dcterms:modified xsi:type="dcterms:W3CDTF">2020-05-21T19:06:00Z</dcterms:modified>
</cp:coreProperties>
</file>